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9A98" w14:textId="77777777" w:rsidR="00AB07E5" w:rsidRDefault="008571B1" w:rsidP="008571B1">
      <w:pPr>
        <w:pStyle w:val="Heading2"/>
      </w:pPr>
      <w:r>
        <w:t>Findings</w:t>
      </w:r>
    </w:p>
    <w:p w14:paraId="33747407" w14:textId="77777777" w:rsidR="009E291B" w:rsidRPr="00CA5131" w:rsidRDefault="009E291B" w:rsidP="009E291B">
      <w:pPr>
        <w:pStyle w:val="Heading3"/>
        <w:rPr>
          <w:szCs w:val="22"/>
          <w:u w:val="single"/>
        </w:rPr>
      </w:pPr>
      <w:r w:rsidRPr="00CA5131">
        <w:rPr>
          <w:szCs w:val="22"/>
          <w:u w:val="single"/>
        </w:rPr>
        <w:t>Zoning Consistency/Use Permit Findings</w:t>
      </w:r>
    </w:p>
    <w:p w14:paraId="1593EE83" w14:textId="77777777" w:rsidR="009E291B" w:rsidRPr="00CA5131" w:rsidRDefault="009E291B" w:rsidP="009E291B">
      <w:pPr>
        <w:pStyle w:val="ListParagraph"/>
        <w:numPr>
          <w:ilvl w:val="0"/>
          <w:numId w:val="5"/>
        </w:numPr>
        <w:rPr>
          <w:szCs w:val="22"/>
        </w:rPr>
      </w:pPr>
      <w:r w:rsidRPr="00CA5131">
        <w:rPr>
          <w:szCs w:val="22"/>
        </w:rPr>
        <w:t>The proposed use permit, as recommended for approval, is consistent with the applicable elements and policies of the Siskiyou County General Plan.</w:t>
      </w:r>
    </w:p>
    <w:p w14:paraId="6731D361" w14:textId="3F02D6B6" w:rsidR="009E291B" w:rsidRPr="00CA5131" w:rsidRDefault="009E291B" w:rsidP="009E291B">
      <w:pPr>
        <w:pStyle w:val="ListParagraph"/>
        <w:numPr>
          <w:ilvl w:val="0"/>
          <w:numId w:val="5"/>
        </w:numPr>
        <w:rPr>
          <w:szCs w:val="22"/>
        </w:rPr>
      </w:pPr>
      <w:r w:rsidRPr="00CA5131">
        <w:rPr>
          <w:szCs w:val="22"/>
        </w:rPr>
        <w:t xml:space="preserve">The proposed </w:t>
      </w:r>
      <w:r w:rsidR="00346801" w:rsidRPr="00CA5131">
        <w:rPr>
          <w:szCs w:val="22"/>
        </w:rPr>
        <w:t xml:space="preserve">short-term </w:t>
      </w:r>
      <w:r w:rsidRPr="00CA5131">
        <w:rPr>
          <w:szCs w:val="22"/>
        </w:rPr>
        <w:t>vacation rental is consistent with the applicable zoning provisions outlined in Section 10-6.1502(h) of the Siskiyou County Code.</w:t>
      </w:r>
    </w:p>
    <w:p w14:paraId="7D872E7D" w14:textId="77777777" w:rsidR="009E291B" w:rsidRPr="00CA5131" w:rsidRDefault="009E291B" w:rsidP="009E291B">
      <w:pPr>
        <w:pStyle w:val="ListParagraph"/>
        <w:numPr>
          <w:ilvl w:val="0"/>
          <w:numId w:val="5"/>
        </w:numPr>
        <w:rPr>
          <w:szCs w:val="22"/>
        </w:rPr>
      </w:pPr>
      <w:r w:rsidRPr="00CA5131">
        <w:rPr>
          <w:szCs w:val="22"/>
        </w:rPr>
        <w:t>Due to size, scale, intensity, and location of the project, the proposed use will not result in a significant change in the existing environment that would in any way threaten the public health, safety, peace, morals, comfort, convenience, or general welfare.</w:t>
      </w:r>
    </w:p>
    <w:p w14:paraId="460F7416" w14:textId="77777777" w:rsidR="009E291B" w:rsidRPr="00CA5131" w:rsidRDefault="009E291B" w:rsidP="009E291B">
      <w:pPr>
        <w:pStyle w:val="ListParagraph"/>
        <w:numPr>
          <w:ilvl w:val="0"/>
          <w:numId w:val="5"/>
        </w:numPr>
        <w:rPr>
          <w:szCs w:val="22"/>
        </w:rPr>
      </w:pPr>
      <w:r w:rsidRPr="00CA5131">
        <w:rPr>
          <w:szCs w:val="22"/>
        </w:rPr>
        <w:t>Due to the size, scale, intensity, and location of the project, the proposed use will not cause damage or nuisances from noise, smoke, odor, dust, vibration, explosion, contamination, fire, or traffic and will be reasonably compatible with the existing and permitted uses in surrounding areas.</w:t>
      </w:r>
    </w:p>
    <w:p w14:paraId="59E54170" w14:textId="77777777" w:rsidR="009E291B" w:rsidRPr="00CA5131" w:rsidRDefault="009E291B" w:rsidP="009E291B">
      <w:pPr>
        <w:pStyle w:val="ListParagraph"/>
        <w:numPr>
          <w:ilvl w:val="0"/>
          <w:numId w:val="5"/>
        </w:numPr>
        <w:rPr>
          <w:szCs w:val="22"/>
        </w:rPr>
      </w:pPr>
      <w:r w:rsidRPr="00CA5131">
        <w:rPr>
          <w:szCs w:val="22"/>
        </w:rPr>
        <w:t>The Planning Commission has considered all written and oral comments received and based on its analysis of the public testimony and staff’s analysis, the Commission has determined that the project as designed and conditioned would be compatible with existing and planned uses of the area.</w:t>
      </w:r>
    </w:p>
    <w:p w14:paraId="4A8EB97F" w14:textId="77777777" w:rsidR="008571B1" w:rsidRPr="00CC30D3" w:rsidRDefault="008571B1" w:rsidP="009E291B">
      <w:pPr>
        <w:pStyle w:val="Heading3"/>
        <w:spacing w:after="240"/>
        <w:rPr>
          <w:sz w:val="24"/>
          <w:szCs w:val="24"/>
          <w:u w:val="single"/>
        </w:rPr>
      </w:pPr>
      <w:r w:rsidRPr="00CC30D3">
        <w:rPr>
          <w:sz w:val="24"/>
          <w:szCs w:val="24"/>
          <w:u w:val="single"/>
        </w:rPr>
        <w:t>General Plan Consistency Findings</w:t>
      </w:r>
    </w:p>
    <w:p w14:paraId="07957CBD" w14:textId="77777777" w:rsidR="009E291B" w:rsidRPr="00CC30D3" w:rsidRDefault="009E291B" w:rsidP="009E291B">
      <w:pPr>
        <w:spacing w:after="120"/>
        <w:rPr>
          <w:rFonts w:eastAsiaTheme="majorEastAsia" w:cstheme="majorBidi"/>
          <w:b/>
          <w:bCs/>
          <w:szCs w:val="22"/>
        </w:rPr>
      </w:pPr>
      <w:r w:rsidRPr="00CC30D3">
        <w:rPr>
          <w:rFonts w:eastAsiaTheme="majorEastAsia" w:cstheme="majorBidi"/>
          <w:b/>
          <w:bCs/>
          <w:szCs w:val="22"/>
        </w:rPr>
        <w:t>Composite Overall Policies</w:t>
      </w:r>
    </w:p>
    <w:p w14:paraId="0CDF1B0E" w14:textId="77777777" w:rsidR="009E291B" w:rsidRPr="00CC30D3" w:rsidRDefault="009E291B" w:rsidP="009E29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C30D3">
        <w:rPr>
          <w:rFonts w:cs="Arial"/>
          <w:szCs w:val="22"/>
        </w:rPr>
        <w:t>Policy 41.3(e) - All proposed uses of the land shall be clearly compatible with the surrounding and planned uses of the area</w:t>
      </w:r>
      <w:r w:rsidRPr="00CC30D3">
        <w:rPr>
          <w:rFonts w:cs="Arial"/>
          <w:i/>
          <w:szCs w:val="22"/>
        </w:rPr>
        <w:t>.</w:t>
      </w:r>
    </w:p>
    <w:p w14:paraId="726E4A49" w14:textId="3A208CB6" w:rsidR="000566B9" w:rsidRPr="00CC30D3" w:rsidRDefault="000566B9" w:rsidP="00F54E6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i/>
          <w:szCs w:val="22"/>
        </w:rPr>
      </w:pPr>
      <w:r w:rsidRPr="0032773B">
        <w:rPr>
          <w:i/>
          <w:szCs w:val="22"/>
        </w:rPr>
        <w:t xml:space="preserve">The project site is surrounded by land zoned and utilized for </w:t>
      </w:r>
      <w:r w:rsidR="0032773B" w:rsidRPr="0032773B">
        <w:rPr>
          <w:i/>
          <w:szCs w:val="22"/>
        </w:rPr>
        <w:t xml:space="preserve">rural </w:t>
      </w:r>
      <w:r w:rsidR="00EC1730" w:rsidRPr="0032773B">
        <w:rPr>
          <w:i/>
          <w:szCs w:val="22"/>
        </w:rPr>
        <w:t>residential</w:t>
      </w:r>
      <w:r w:rsidRPr="0032773B">
        <w:rPr>
          <w:i/>
          <w:szCs w:val="22"/>
        </w:rPr>
        <w:t xml:space="preserve"> agricultural purposes or uses accessory to such neighborhoods. The proposed </w:t>
      </w:r>
      <w:r w:rsidR="00D428C3" w:rsidRPr="0032773B">
        <w:rPr>
          <w:i/>
          <w:szCs w:val="22"/>
        </w:rPr>
        <w:t xml:space="preserve">short-term </w:t>
      </w:r>
      <w:r w:rsidRPr="0032773B">
        <w:rPr>
          <w:i/>
          <w:szCs w:val="22"/>
        </w:rPr>
        <w:t xml:space="preserve">vacation rental would be clearly compatible with existing uses adjacent to the project site and would not in any way threaten the public health, safety, peace, morals, comfort, </w:t>
      </w:r>
      <w:r w:rsidR="002D27AE" w:rsidRPr="0032773B">
        <w:rPr>
          <w:i/>
          <w:szCs w:val="22"/>
        </w:rPr>
        <w:t>convenience,</w:t>
      </w:r>
      <w:r w:rsidRPr="0032773B">
        <w:rPr>
          <w:i/>
          <w:szCs w:val="22"/>
        </w:rPr>
        <w:t xml:space="preserve"> or general welfare of the surrounding area.</w:t>
      </w:r>
    </w:p>
    <w:p w14:paraId="101F0272" w14:textId="77777777" w:rsidR="00FA709A" w:rsidRPr="00CC30D3" w:rsidRDefault="00FA709A" w:rsidP="00FA709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C30D3">
        <w:rPr>
          <w:rFonts w:cs="Arial"/>
          <w:szCs w:val="22"/>
        </w:rPr>
        <w:t>Policy 41.3(f) – All proposed uses of the land may be allowed if they clearly will not be disruptive or destroy the intent of protecting each mapped resource.</w:t>
      </w:r>
    </w:p>
    <w:p w14:paraId="10AD781A" w14:textId="6E14C63E" w:rsidR="00FA709A" w:rsidRPr="00CC30D3" w:rsidRDefault="00FA709A" w:rsidP="00FA709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szCs w:val="22"/>
        </w:rPr>
      </w:pPr>
      <w:r w:rsidRPr="0032773B">
        <w:rPr>
          <w:rFonts w:cs="Arial"/>
          <w:i/>
          <w:szCs w:val="22"/>
        </w:rPr>
        <w:t>No new development is proposed as part of this project</w:t>
      </w:r>
      <w:r w:rsidR="002076F6" w:rsidRPr="0032773B">
        <w:rPr>
          <w:rFonts w:cs="Arial"/>
          <w:i/>
          <w:szCs w:val="22"/>
        </w:rPr>
        <w:t xml:space="preserve">; </w:t>
      </w:r>
      <w:r w:rsidR="00A52D03" w:rsidRPr="0032773B">
        <w:rPr>
          <w:rFonts w:cs="Arial"/>
          <w:i/>
          <w:szCs w:val="22"/>
        </w:rPr>
        <w:t>t</w:t>
      </w:r>
      <w:r w:rsidRPr="0032773B">
        <w:rPr>
          <w:rFonts w:cs="Arial"/>
          <w:i/>
          <w:szCs w:val="22"/>
        </w:rPr>
        <w:t>herefore, no disruption of a mapped resource would occur.</w:t>
      </w:r>
    </w:p>
    <w:p w14:paraId="15624F2F" w14:textId="43D533D6" w:rsidR="009E291B" w:rsidRPr="00CC30D3" w:rsidRDefault="009E291B" w:rsidP="009E29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C30D3">
        <w:rPr>
          <w:rFonts w:cs="Arial"/>
          <w:szCs w:val="22"/>
        </w:rPr>
        <w:t xml:space="preserve">Policy 41.6 </w:t>
      </w:r>
      <w:r w:rsidR="00B22F7C" w:rsidRPr="00CC30D3">
        <w:rPr>
          <w:rFonts w:cs="Arial"/>
          <w:szCs w:val="22"/>
        </w:rPr>
        <w:t>–</w:t>
      </w:r>
      <w:r w:rsidRPr="00CC30D3">
        <w:rPr>
          <w:rFonts w:cs="Arial"/>
          <w:szCs w:val="22"/>
        </w:rPr>
        <w:t xml:space="preserve"> There shall be a demonstration to the satisfaction of the Siskiyou County Environmental Health Department and/or the California Regional Water Quality Control Board that sewage disposal from all proposed development will not contaminate ground water.</w:t>
      </w:r>
    </w:p>
    <w:p w14:paraId="23F5CA59" w14:textId="3BC39D74" w:rsidR="00225A53" w:rsidRPr="000A2D87" w:rsidRDefault="009E291B" w:rsidP="000A2D87">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s>
        <w:ind w:left="720"/>
        <w:jc w:val="both"/>
        <w:rPr>
          <w:rFonts w:cs="Arial"/>
          <w:i/>
          <w:szCs w:val="22"/>
        </w:rPr>
      </w:pPr>
      <w:r w:rsidRPr="0032773B">
        <w:rPr>
          <w:rFonts w:cs="Arial"/>
          <w:i/>
          <w:szCs w:val="22"/>
        </w:rPr>
        <w:t xml:space="preserve">Sewage disposal for the </w:t>
      </w:r>
      <w:r w:rsidR="003E7228" w:rsidRPr="0032773B">
        <w:rPr>
          <w:rFonts w:cs="Arial"/>
          <w:i/>
          <w:szCs w:val="22"/>
        </w:rPr>
        <w:t xml:space="preserve">primary </w:t>
      </w:r>
      <w:r w:rsidRPr="0032773B">
        <w:rPr>
          <w:rFonts w:cs="Arial"/>
          <w:i/>
          <w:szCs w:val="22"/>
        </w:rPr>
        <w:t xml:space="preserve">single-family dwelling is provided by </w:t>
      </w:r>
      <w:r w:rsidR="005A54E6" w:rsidRPr="0032773B">
        <w:rPr>
          <w:rFonts w:cs="Arial"/>
          <w:i/>
          <w:szCs w:val="22"/>
        </w:rPr>
        <w:t>a</w:t>
      </w:r>
      <w:r w:rsidR="00E12FB1" w:rsidRPr="0032773B">
        <w:rPr>
          <w:rFonts w:cs="Arial"/>
          <w:i/>
          <w:szCs w:val="22"/>
        </w:rPr>
        <w:t>n existing</w:t>
      </w:r>
      <w:r w:rsidR="005A54E6" w:rsidRPr="0032773B">
        <w:rPr>
          <w:rFonts w:cs="Arial"/>
          <w:i/>
          <w:szCs w:val="22"/>
        </w:rPr>
        <w:t xml:space="preserve"> </w:t>
      </w:r>
      <w:r w:rsidR="00E12FB1" w:rsidRPr="0032773B">
        <w:rPr>
          <w:rFonts w:cs="Arial"/>
          <w:i/>
          <w:szCs w:val="22"/>
        </w:rPr>
        <w:t>private s</w:t>
      </w:r>
      <w:r w:rsidR="005A54E6" w:rsidRPr="0032773B">
        <w:rPr>
          <w:rFonts w:cs="Arial"/>
          <w:i/>
          <w:szCs w:val="22"/>
        </w:rPr>
        <w:t xml:space="preserve">eptic </w:t>
      </w:r>
      <w:r w:rsidR="00E12FB1" w:rsidRPr="0032773B">
        <w:rPr>
          <w:rFonts w:cs="Arial"/>
          <w:i/>
          <w:szCs w:val="22"/>
        </w:rPr>
        <w:t>s</w:t>
      </w:r>
      <w:r w:rsidR="005A54E6" w:rsidRPr="0032773B">
        <w:rPr>
          <w:rFonts w:cs="Arial"/>
          <w:i/>
          <w:szCs w:val="22"/>
        </w:rPr>
        <w:t>ystem.</w:t>
      </w:r>
      <w:r w:rsidRPr="0032773B">
        <w:rPr>
          <w:rFonts w:cs="Arial"/>
          <w:i/>
          <w:szCs w:val="22"/>
        </w:rPr>
        <w:t xml:space="preserve"> </w:t>
      </w:r>
      <w:r w:rsidR="002076F6" w:rsidRPr="0032773B">
        <w:rPr>
          <w:rFonts w:cs="Arial"/>
          <w:i/>
          <w:szCs w:val="22"/>
        </w:rPr>
        <w:t>No new development is proposed as part of this project.</w:t>
      </w:r>
      <w:r w:rsidR="002076F6" w:rsidRPr="00CC30D3">
        <w:rPr>
          <w:rFonts w:cs="Arial"/>
          <w:i/>
          <w:szCs w:val="22"/>
        </w:rPr>
        <w:t xml:space="preserve"> </w:t>
      </w:r>
    </w:p>
    <w:p w14:paraId="33324FC9" w14:textId="240A8107" w:rsidR="009E291B" w:rsidRPr="00CC30D3" w:rsidRDefault="009E291B" w:rsidP="00EB53BC">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C30D3">
        <w:rPr>
          <w:rFonts w:cs="Arial"/>
          <w:szCs w:val="22"/>
        </w:rPr>
        <w:lastRenderedPageBreak/>
        <w:t>Policy 41.7 - Evidence of water quality and quantity acceptable to the Siskiyou County Environmental Health Department must be submitted prior to development approval.</w:t>
      </w:r>
    </w:p>
    <w:p w14:paraId="2C2BAD0F" w14:textId="188030E8" w:rsidR="009E291B" w:rsidRPr="00CC30D3" w:rsidRDefault="009E291B" w:rsidP="00F54E6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i/>
          <w:szCs w:val="22"/>
        </w:rPr>
      </w:pPr>
      <w:r w:rsidRPr="0032773B">
        <w:rPr>
          <w:rFonts w:cs="Arial"/>
          <w:i/>
          <w:szCs w:val="22"/>
        </w:rPr>
        <w:t xml:space="preserve">Water service to the </w:t>
      </w:r>
      <w:r w:rsidR="003E7228" w:rsidRPr="0032773B">
        <w:rPr>
          <w:rFonts w:cs="Arial"/>
          <w:i/>
          <w:szCs w:val="22"/>
        </w:rPr>
        <w:t xml:space="preserve">primary </w:t>
      </w:r>
      <w:r w:rsidRPr="0032773B">
        <w:rPr>
          <w:rFonts w:cs="Arial"/>
          <w:i/>
          <w:szCs w:val="22"/>
        </w:rPr>
        <w:t xml:space="preserve">single-family dwelling is provided by </w:t>
      </w:r>
      <w:r w:rsidR="00A56F90" w:rsidRPr="0032773B">
        <w:rPr>
          <w:rFonts w:cs="Arial"/>
          <w:i/>
          <w:szCs w:val="22"/>
        </w:rPr>
        <w:t>a connection to an appro</w:t>
      </w:r>
      <w:r w:rsidR="00692EF6" w:rsidRPr="0032773B">
        <w:rPr>
          <w:rFonts w:cs="Arial"/>
          <w:i/>
          <w:szCs w:val="22"/>
        </w:rPr>
        <w:t>ved</w:t>
      </w:r>
      <w:r w:rsidR="00A56F90" w:rsidRPr="0032773B">
        <w:rPr>
          <w:rFonts w:cs="Arial"/>
          <w:i/>
          <w:szCs w:val="22"/>
        </w:rPr>
        <w:t xml:space="preserve"> groundwater w</w:t>
      </w:r>
      <w:r w:rsidR="005A54E6" w:rsidRPr="0032773B">
        <w:rPr>
          <w:rFonts w:cs="Arial"/>
          <w:i/>
          <w:szCs w:val="22"/>
        </w:rPr>
        <w:t>el</w:t>
      </w:r>
      <w:r w:rsidR="00F4619E" w:rsidRPr="0032773B">
        <w:rPr>
          <w:rFonts w:cs="Arial"/>
          <w:i/>
          <w:szCs w:val="22"/>
        </w:rPr>
        <w:t>l</w:t>
      </w:r>
      <w:r w:rsidR="005A54E6" w:rsidRPr="0032773B">
        <w:rPr>
          <w:rFonts w:cs="Arial"/>
          <w:i/>
          <w:szCs w:val="22"/>
        </w:rPr>
        <w:t>.</w:t>
      </w:r>
      <w:r w:rsidRPr="0032773B">
        <w:rPr>
          <w:rFonts w:cs="Arial"/>
          <w:i/>
          <w:szCs w:val="22"/>
        </w:rPr>
        <w:t xml:space="preserve"> </w:t>
      </w:r>
      <w:r w:rsidR="00DB320B" w:rsidRPr="0032773B">
        <w:rPr>
          <w:rFonts w:cs="Arial"/>
          <w:i/>
          <w:szCs w:val="22"/>
        </w:rPr>
        <w:t>No new development is proposed as part of this project.</w:t>
      </w:r>
    </w:p>
    <w:p w14:paraId="229AE687" w14:textId="46F91446" w:rsidR="009E291B" w:rsidRPr="00CC30D3" w:rsidRDefault="009E291B" w:rsidP="009E29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C30D3">
        <w:rPr>
          <w:rFonts w:cs="Arial"/>
          <w:szCs w:val="22"/>
        </w:rPr>
        <w:t xml:space="preserve">Policy 41.8 – All proposed development shall be accompanied by evidence acceptable to the Siskiyou County Health Department as to the adequacy of on-site sewage disposal or the ability to connect into an existing city or existing Community Services District with adequate capacity to accommodate the proposed development. In these </w:t>
      </w:r>
      <w:r w:rsidR="007726A6" w:rsidRPr="00CC30D3">
        <w:rPr>
          <w:rFonts w:cs="Arial"/>
          <w:szCs w:val="22"/>
        </w:rPr>
        <w:t>cases,</w:t>
      </w:r>
      <w:r w:rsidRPr="00CC30D3">
        <w:rPr>
          <w:rFonts w:cs="Arial"/>
          <w:szCs w:val="22"/>
        </w:rPr>
        <w:t xml:space="preserve"> the minimum parcel sizes and uses of the land permitted for all development will be the maximum density and land uses permitted that will meet minimum water quality and quantity requirements, and the requirements of the county’s flood plain management ordinance.</w:t>
      </w:r>
    </w:p>
    <w:p w14:paraId="2B8A86DC" w14:textId="1F6CDA0B" w:rsidR="009E291B" w:rsidRPr="00C706EB" w:rsidRDefault="00F95043" w:rsidP="00F54E6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i/>
          <w:szCs w:val="22"/>
        </w:rPr>
      </w:pPr>
      <w:r w:rsidRPr="0032773B">
        <w:rPr>
          <w:rFonts w:cs="Arial"/>
          <w:i/>
          <w:szCs w:val="22"/>
        </w:rPr>
        <w:t xml:space="preserve">No new development is proposed as part of this project. </w:t>
      </w:r>
      <w:r w:rsidR="009E291B" w:rsidRPr="0032773B">
        <w:rPr>
          <w:rFonts w:cs="Arial"/>
          <w:i/>
          <w:szCs w:val="22"/>
        </w:rPr>
        <w:t>Sewage disposal and water service is supplied to the single-family residence</w:t>
      </w:r>
      <w:r w:rsidR="001F7BA7" w:rsidRPr="0032773B">
        <w:rPr>
          <w:rFonts w:cs="Arial"/>
          <w:i/>
          <w:szCs w:val="22"/>
        </w:rPr>
        <w:t xml:space="preserve"> </w:t>
      </w:r>
      <w:r w:rsidR="009E291B" w:rsidRPr="0032773B">
        <w:rPr>
          <w:rFonts w:cs="Arial"/>
          <w:i/>
          <w:szCs w:val="22"/>
        </w:rPr>
        <w:t>by</w:t>
      </w:r>
      <w:r w:rsidR="005A3160" w:rsidRPr="0032773B">
        <w:rPr>
          <w:rFonts w:cs="Arial"/>
          <w:i/>
          <w:szCs w:val="22"/>
        </w:rPr>
        <w:t xml:space="preserve"> an </w:t>
      </w:r>
      <w:r w:rsidR="00590BDE" w:rsidRPr="0032773B">
        <w:rPr>
          <w:rFonts w:cs="Arial"/>
          <w:i/>
          <w:szCs w:val="22"/>
        </w:rPr>
        <w:t xml:space="preserve">approved on-site </w:t>
      </w:r>
      <w:r w:rsidR="005A3160" w:rsidRPr="0032773B">
        <w:rPr>
          <w:rFonts w:cs="Arial"/>
          <w:i/>
          <w:szCs w:val="22"/>
        </w:rPr>
        <w:t>septic system</w:t>
      </w:r>
      <w:r w:rsidR="00590BDE" w:rsidRPr="0032773B">
        <w:rPr>
          <w:rFonts w:cs="Arial"/>
          <w:i/>
          <w:szCs w:val="22"/>
        </w:rPr>
        <w:t xml:space="preserve"> and groundwater well</w:t>
      </w:r>
      <w:r w:rsidR="005A3160" w:rsidRPr="0032773B">
        <w:rPr>
          <w:rFonts w:cs="Arial"/>
          <w:i/>
          <w:szCs w:val="22"/>
        </w:rPr>
        <w:t>.</w:t>
      </w:r>
    </w:p>
    <w:p w14:paraId="7C647A23" w14:textId="73AEE452" w:rsidR="009E291B" w:rsidRPr="00C706EB" w:rsidRDefault="009E291B" w:rsidP="009E29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i/>
          <w:szCs w:val="22"/>
        </w:rPr>
      </w:pPr>
      <w:r w:rsidRPr="00C706EB">
        <w:rPr>
          <w:rFonts w:cs="Arial"/>
          <w:szCs w:val="22"/>
        </w:rPr>
        <w:t>Policy 41.9 - Buildable, safe access must exist to all proposed uses of land. The access must also be adequate to accommodate the immediate and cumulative traffic impacts of the proposed development</w:t>
      </w:r>
      <w:r w:rsidRPr="00C706EB">
        <w:rPr>
          <w:rFonts w:cs="Arial"/>
          <w:i/>
          <w:szCs w:val="22"/>
        </w:rPr>
        <w:t>.</w:t>
      </w:r>
    </w:p>
    <w:p w14:paraId="35AE9736" w14:textId="520F7129" w:rsidR="009E291B" w:rsidRPr="00C706EB" w:rsidRDefault="00D162AE" w:rsidP="00F54E6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i/>
          <w:szCs w:val="22"/>
        </w:rPr>
      </w:pPr>
      <w:r w:rsidRPr="0032773B">
        <w:rPr>
          <w:rFonts w:cs="Arial"/>
          <w:i/>
          <w:szCs w:val="22"/>
        </w:rPr>
        <w:t>The project site has access to</w:t>
      </w:r>
      <w:r w:rsidR="00906C0B" w:rsidRPr="0032773B">
        <w:rPr>
          <w:rFonts w:cs="Arial"/>
          <w:i/>
          <w:szCs w:val="22"/>
        </w:rPr>
        <w:t xml:space="preserve"> </w:t>
      </w:r>
      <w:r w:rsidR="0032773B" w:rsidRPr="0032773B">
        <w:rPr>
          <w:rFonts w:cs="Arial"/>
          <w:i/>
          <w:szCs w:val="22"/>
        </w:rPr>
        <w:t>Maple</w:t>
      </w:r>
      <w:r w:rsidR="00C706EB" w:rsidRPr="0032773B">
        <w:rPr>
          <w:rFonts w:cs="Arial"/>
          <w:i/>
          <w:szCs w:val="22"/>
        </w:rPr>
        <w:t xml:space="preserve"> Drive,</w:t>
      </w:r>
      <w:r w:rsidR="0091633D" w:rsidRPr="0032773B">
        <w:rPr>
          <w:rFonts w:cs="Arial"/>
          <w:i/>
          <w:szCs w:val="22"/>
        </w:rPr>
        <w:t xml:space="preserve"> </w:t>
      </w:r>
      <w:r w:rsidRPr="0032773B">
        <w:rPr>
          <w:rFonts w:cs="Arial"/>
          <w:i/>
          <w:szCs w:val="22"/>
        </w:rPr>
        <w:t xml:space="preserve">a </w:t>
      </w:r>
      <w:r w:rsidR="0091633D" w:rsidRPr="0032773B">
        <w:rPr>
          <w:rFonts w:cs="Arial"/>
          <w:i/>
          <w:szCs w:val="22"/>
        </w:rPr>
        <w:t>private</w:t>
      </w:r>
      <w:r w:rsidR="009E291B" w:rsidRPr="0032773B">
        <w:rPr>
          <w:rFonts w:cs="Arial"/>
          <w:i/>
          <w:szCs w:val="22"/>
        </w:rPr>
        <w:t xml:space="preserve"> roadway capable of accommodating the vehicular traffic generated by the proposed use.</w:t>
      </w:r>
    </w:p>
    <w:p w14:paraId="05EBCE42" w14:textId="0B9DAED6" w:rsidR="009E291B" w:rsidRPr="00C706EB" w:rsidRDefault="009E291B" w:rsidP="009E29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706EB">
        <w:rPr>
          <w:rFonts w:cs="Arial"/>
          <w:szCs w:val="22"/>
        </w:rPr>
        <w:t xml:space="preserve">Policy 41.18 – Conformance with all policies in the Land Use Element shall be provided, documented, and demonstrated before the County may </w:t>
      </w:r>
      <w:r w:rsidR="00C706EB" w:rsidRPr="00C706EB">
        <w:rPr>
          <w:rFonts w:cs="Arial"/>
          <w:szCs w:val="22"/>
        </w:rPr>
        <w:t>decide</w:t>
      </w:r>
      <w:r w:rsidRPr="00C706EB">
        <w:rPr>
          <w:rFonts w:cs="Arial"/>
          <w:szCs w:val="22"/>
        </w:rPr>
        <w:t xml:space="preserve"> on any proposed development.</w:t>
      </w:r>
    </w:p>
    <w:p w14:paraId="42547312" w14:textId="291D23CE" w:rsidR="008F7695" w:rsidRDefault="009E291B" w:rsidP="00F54E6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i/>
          <w:szCs w:val="22"/>
        </w:rPr>
      </w:pPr>
      <w:r w:rsidRPr="0032773B">
        <w:rPr>
          <w:rFonts w:cs="Arial"/>
          <w:i/>
          <w:szCs w:val="22"/>
        </w:rPr>
        <w:t xml:space="preserve">Staff has reviewed all Land Use Element policies and has determined that the proposed </w:t>
      </w:r>
      <w:r w:rsidR="003E7228" w:rsidRPr="0032773B">
        <w:rPr>
          <w:rFonts w:cs="Arial"/>
          <w:i/>
          <w:szCs w:val="22"/>
        </w:rPr>
        <w:t xml:space="preserve">short-term </w:t>
      </w:r>
      <w:r w:rsidRPr="0032773B">
        <w:rPr>
          <w:rFonts w:cs="Arial"/>
          <w:i/>
          <w:szCs w:val="22"/>
        </w:rPr>
        <w:t>vacation rental conforms to the General Plan</w:t>
      </w:r>
      <w:r w:rsidR="00514A71" w:rsidRPr="0032773B">
        <w:rPr>
          <w:rFonts w:cs="Arial"/>
          <w:i/>
          <w:szCs w:val="22"/>
        </w:rPr>
        <w:t xml:space="preserve"> as outlined by these Findings and Staff Report dated </w:t>
      </w:r>
      <w:r w:rsidR="0032773B" w:rsidRPr="0032773B">
        <w:rPr>
          <w:rFonts w:cs="Arial"/>
          <w:i/>
          <w:szCs w:val="22"/>
        </w:rPr>
        <w:t>March 15, 2023</w:t>
      </w:r>
      <w:r w:rsidRPr="0032773B">
        <w:rPr>
          <w:rFonts w:cs="Arial"/>
          <w:i/>
          <w:szCs w:val="22"/>
        </w:rPr>
        <w:t>.</w:t>
      </w:r>
    </w:p>
    <w:p w14:paraId="5DF34E68" w14:textId="7D9B780B" w:rsidR="006E070A" w:rsidRPr="0031753E" w:rsidRDefault="006E070A" w:rsidP="00570548">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s>
        <w:spacing w:after="120"/>
        <w:jc w:val="both"/>
        <w:rPr>
          <w:rFonts w:cs="Arial"/>
          <w:b/>
          <w:bCs/>
          <w:iCs/>
          <w:szCs w:val="22"/>
        </w:rPr>
      </w:pPr>
      <w:r w:rsidRPr="0031753E">
        <w:rPr>
          <w:rFonts w:cs="Arial"/>
          <w:b/>
          <w:bCs/>
          <w:iCs/>
          <w:szCs w:val="22"/>
        </w:rPr>
        <w:t>Map 2:</w:t>
      </w:r>
      <w:r w:rsidRPr="0031753E">
        <w:rPr>
          <w:rFonts w:cs="Arial"/>
          <w:b/>
          <w:bCs/>
          <w:iCs/>
          <w:szCs w:val="22"/>
        </w:rPr>
        <w:tab/>
        <w:t>Erosion Hazard</w:t>
      </w:r>
    </w:p>
    <w:p w14:paraId="28E2676F" w14:textId="77777777" w:rsidR="0031753E" w:rsidRPr="00CA5131" w:rsidRDefault="0031753E" w:rsidP="0031753E">
      <w:pPr>
        <w:jc w:val="both"/>
        <w:rPr>
          <w:rFonts w:cs="Arial"/>
          <w:szCs w:val="22"/>
        </w:rPr>
      </w:pPr>
      <w:r w:rsidRPr="0031753E">
        <w:rPr>
          <w:rFonts w:cs="Arial"/>
          <w:szCs w:val="22"/>
        </w:rPr>
        <w:t>Policy 7 – Specific mitigation measures w</w:t>
      </w:r>
      <w:r w:rsidRPr="00CA5131">
        <w:rPr>
          <w:rFonts w:cs="Arial"/>
          <w:szCs w:val="22"/>
        </w:rPr>
        <w:t>ill be provided that lessen soil erosion, including contour grading, channelization, revegetation of disturbed slopes and soils, and project time (where feasible) to lessen the effect of seasonal factors (rainfall and wind).</w:t>
      </w:r>
    </w:p>
    <w:p w14:paraId="10A6CF57" w14:textId="77777777" w:rsidR="0031753E" w:rsidRDefault="0031753E" w:rsidP="0031753E">
      <w:pPr>
        <w:ind w:left="720"/>
        <w:jc w:val="both"/>
        <w:rPr>
          <w:rFonts w:cs="Arial"/>
          <w:i/>
          <w:szCs w:val="22"/>
        </w:rPr>
      </w:pPr>
      <w:r w:rsidRPr="00560CC7">
        <w:rPr>
          <w:rFonts w:cs="Arial"/>
          <w:i/>
          <w:szCs w:val="22"/>
        </w:rPr>
        <w:t>No new development is proposed as part of this project. Therefore, there would be no potential for erosion impacts due to implementation of the project.</w:t>
      </w:r>
    </w:p>
    <w:p w14:paraId="67069525" w14:textId="77777777" w:rsidR="00A456A7" w:rsidRPr="00AE717A" w:rsidRDefault="00A456A7" w:rsidP="000C0F0D">
      <w:pPr>
        <w:spacing w:after="120"/>
        <w:rPr>
          <w:rFonts w:cs="Arial"/>
          <w:b/>
          <w:szCs w:val="22"/>
        </w:rPr>
      </w:pPr>
      <w:r w:rsidRPr="00D703EF">
        <w:rPr>
          <w:rFonts w:cs="Arial"/>
          <w:b/>
          <w:szCs w:val="22"/>
        </w:rPr>
        <w:t>Map 10:</w:t>
      </w:r>
      <w:r w:rsidRPr="00D703EF">
        <w:rPr>
          <w:rFonts w:cs="Arial"/>
          <w:b/>
          <w:szCs w:val="22"/>
        </w:rPr>
        <w:tab/>
        <w:t>Wildfire Hazard</w:t>
      </w:r>
    </w:p>
    <w:p w14:paraId="02948982" w14:textId="77777777" w:rsidR="00A456A7" w:rsidRPr="00A456A7" w:rsidRDefault="00A456A7" w:rsidP="00A456A7">
      <w:pPr>
        <w:rPr>
          <w:rFonts w:cs="Arial"/>
          <w:szCs w:val="22"/>
        </w:rPr>
      </w:pPr>
      <w:r w:rsidRPr="00AE717A">
        <w:rPr>
          <w:rFonts w:cs="Arial"/>
          <w:szCs w:val="22"/>
        </w:rPr>
        <w:t>Policy 30 – All development proposed withi</w:t>
      </w:r>
      <w:r w:rsidRPr="00A456A7">
        <w:rPr>
          <w:rFonts w:cs="Arial"/>
          <w:szCs w:val="22"/>
        </w:rPr>
        <w:t>n a wildfire hazard area shall be designed to provide safe ingress, egress, and have an adequate water supply for fire suppression purposes in accordance with the degree of wildfire hazard.</w:t>
      </w:r>
    </w:p>
    <w:p w14:paraId="6D3568D4" w14:textId="77777777" w:rsidR="005C1652" w:rsidRDefault="00A456A7" w:rsidP="00C91C26">
      <w:pPr>
        <w:ind w:left="720"/>
        <w:jc w:val="both"/>
        <w:rPr>
          <w:rFonts w:cs="Arial"/>
          <w:i/>
          <w:szCs w:val="22"/>
        </w:rPr>
      </w:pPr>
      <w:r w:rsidRPr="0032773B">
        <w:rPr>
          <w:rFonts w:cs="Arial"/>
          <w:i/>
          <w:szCs w:val="22"/>
        </w:rPr>
        <w:t xml:space="preserve">The proposed project is a residential use of an existing residential structure. As a Condition of Approval, the project must comply with fire safe standards enacted pursuant to Public Resources Code (PRC) Section 4290 </w:t>
      </w:r>
      <w:r w:rsidR="0032773B" w:rsidRPr="0032773B">
        <w:rPr>
          <w:rFonts w:cs="Arial"/>
          <w:i/>
          <w:szCs w:val="22"/>
        </w:rPr>
        <w:t xml:space="preserve">&amp; 4291, </w:t>
      </w:r>
      <w:r w:rsidRPr="0032773B">
        <w:rPr>
          <w:rFonts w:cs="Arial"/>
          <w:i/>
          <w:szCs w:val="22"/>
        </w:rPr>
        <w:t>and California Code of Regulations, Title 14, Fire Safe Regulations, to the satisfaction of CALFIRE and Siskiyou County Planning. The project site is</w:t>
      </w:r>
    </w:p>
    <w:p w14:paraId="1D2CDEF6" w14:textId="6A0904C1" w:rsidR="00A837AF" w:rsidRDefault="00A456A7" w:rsidP="00C91C26">
      <w:pPr>
        <w:ind w:left="720"/>
        <w:jc w:val="both"/>
        <w:rPr>
          <w:rFonts w:cs="Arial"/>
          <w:b/>
          <w:szCs w:val="22"/>
        </w:rPr>
      </w:pPr>
      <w:r w:rsidRPr="0032773B">
        <w:rPr>
          <w:rFonts w:cs="Arial"/>
          <w:i/>
          <w:szCs w:val="22"/>
        </w:rPr>
        <w:lastRenderedPageBreak/>
        <w:t>accessed by a</w:t>
      </w:r>
      <w:r w:rsidR="00A7628E">
        <w:rPr>
          <w:rFonts w:cs="Arial"/>
          <w:i/>
          <w:szCs w:val="22"/>
        </w:rPr>
        <w:t xml:space="preserve"> private road. </w:t>
      </w:r>
      <w:r w:rsidRPr="00C91C26">
        <w:rPr>
          <w:rFonts w:cs="Arial"/>
          <w:i/>
          <w:szCs w:val="22"/>
        </w:rPr>
        <w:t xml:space="preserve">The </w:t>
      </w:r>
      <w:r w:rsidR="00715EA4" w:rsidRPr="00C91C26">
        <w:rPr>
          <w:rFonts w:cs="Arial"/>
          <w:i/>
          <w:szCs w:val="22"/>
        </w:rPr>
        <w:t xml:space="preserve">Hammond Ranch Fire Company </w:t>
      </w:r>
      <w:r w:rsidR="00715EA4">
        <w:rPr>
          <w:rFonts w:cs="Arial"/>
          <w:i/>
          <w:szCs w:val="22"/>
        </w:rPr>
        <w:t xml:space="preserve">is </w:t>
      </w:r>
      <w:r w:rsidRPr="00C91C26">
        <w:rPr>
          <w:rFonts w:cs="Arial"/>
          <w:i/>
          <w:szCs w:val="22"/>
        </w:rPr>
        <w:t xml:space="preserve">approximately </w:t>
      </w:r>
      <w:r w:rsidR="00C91C26" w:rsidRPr="00C91C26">
        <w:rPr>
          <w:rFonts w:cs="Arial"/>
          <w:i/>
          <w:szCs w:val="22"/>
        </w:rPr>
        <w:t>2.1</w:t>
      </w:r>
      <w:r w:rsidRPr="00C91C26">
        <w:rPr>
          <w:rFonts w:cs="Arial"/>
          <w:i/>
          <w:szCs w:val="22"/>
        </w:rPr>
        <w:t xml:space="preserve"> miles </w:t>
      </w:r>
      <w:r w:rsidR="00715EA4">
        <w:rPr>
          <w:rFonts w:cs="Arial"/>
          <w:i/>
          <w:szCs w:val="22"/>
        </w:rPr>
        <w:t>north of the property, the Weed Cal Fire Station is approximately 5.9 miles north</w:t>
      </w:r>
      <w:r w:rsidR="00AD0084">
        <w:rPr>
          <w:rFonts w:cs="Arial"/>
          <w:i/>
          <w:szCs w:val="22"/>
        </w:rPr>
        <w:t xml:space="preserve"> of the property and the </w:t>
      </w:r>
      <w:r w:rsidR="00715EA4" w:rsidRPr="00C91C26">
        <w:rPr>
          <w:rFonts w:cs="Arial"/>
          <w:i/>
          <w:szCs w:val="22"/>
        </w:rPr>
        <w:t xml:space="preserve">Weed </w:t>
      </w:r>
      <w:r w:rsidR="00715EA4">
        <w:rPr>
          <w:rFonts w:cs="Arial"/>
          <w:i/>
          <w:szCs w:val="22"/>
        </w:rPr>
        <w:t xml:space="preserve">City </w:t>
      </w:r>
      <w:r w:rsidR="00715EA4" w:rsidRPr="00C91C26">
        <w:rPr>
          <w:rFonts w:cs="Arial"/>
          <w:i/>
          <w:szCs w:val="22"/>
        </w:rPr>
        <w:t xml:space="preserve">Fire Department </w:t>
      </w:r>
      <w:r w:rsidR="00715EA4">
        <w:rPr>
          <w:rFonts w:cs="Arial"/>
          <w:i/>
          <w:szCs w:val="22"/>
        </w:rPr>
        <w:t>is</w:t>
      </w:r>
      <w:r w:rsidR="00C91C26" w:rsidRPr="00C91C26">
        <w:rPr>
          <w:rFonts w:cs="Arial"/>
          <w:i/>
          <w:szCs w:val="22"/>
        </w:rPr>
        <w:t xml:space="preserve"> approximately 6.4 miles </w:t>
      </w:r>
      <w:r w:rsidR="00AD0084">
        <w:rPr>
          <w:rFonts w:cs="Arial"/>
          <w:i/>
          <w:szCs w:val="22"/>
        </w:rPr>
        <w:t>north of the property</w:t>
      </w:r>
      <w:r w:rsidR="00C91C26" w:rsidRPr="00C91C26">
        <w:rPr>
          <w:rFonts w:cs="Arial"/>
          <w:i/>
          <w:szCs w:val="22"/>
        </w:rPr>
        <w:t>.</w:t>
      </w:r>
    </w:p>
    <w:p w14:paraId="2C1402AF" w14:textId="4F8E324F" w:rsidR="008F4DCE" w:rsidRPr="00D703EF" w:rsidRDefault="008F4DCE" w:rsidP="000C0F0D">
      <w:pPr>
        <w:tabs>
          <w:tab w:val="left" w:pos="1440"/>
        </w:tabs>
        <w:spacing w:after="120"/>
        <w:rPr>
          <w:rFonts w:cs="Arial"/>
          <w:b/>
          <w:szCs w:val="22"/>
        </w:rPr>
      </w:pPr>
      <w:r w:rsidRPr="00D703EF">
        <w:rPr>
          <w:rFonts w:cs="Arial"/>
          <w:b/>
          <w:szCs w:val="22"/>
        </w:rPr>
        <w:t xml:space="preserve">Map </w:t>
      </w:r>
      <w:r w:rsidR="00184766" w:rsidRPr="00D703EF">
        <w:rPr>
          <w:rFonts w:cs="Arial"/>
          <w:b/>
          <w:szCs w:val="22"/>
        </w:rPr>
        <w:t>11</w:t>
      </w:r>
      <w:r w:rsidRPr="00D703EF">
        <w:rPr>
          <w:rFonts w:cs="Arial"/>
          <w:b/>
          <w:szCs w:val="22"/>
        </w:rPr>
        <w:t>:</w:t>
      </w:r>
      <w:r w:rsidRPr="00D703EF">
        <w:rPr>
          <w:rFonts w:cs="Arial"/>
          <w:b/>
          <w:szCs w:val="22"/>
        </w:rPr>
        <w:tab/>
      </w:r>
      <w:r w:rsidR="00184766" w:rsidRPr="00D703EF">
        <w:rPr>
          <w:rFonts w:cs="Arial"/>
          <w:b/>
          <w:szCs w:val="22"/>
        </w:rPr>
        <w:t>Woodland Productivity</w:t>
      </w:r>
    </w:p>
    <w:p w14:paraId="3665C367" w14:textId="77777777" w:rsidR="00184766" w:rsidRPr="00773015" w:rsidRDefault="00184766" w:rsidP="00F95043">
      <w:pPr>
        <w:spacing w:after="120"/>
        <w:rPr>
          <w:szCs w:val="22"/>
        </w:rPr>
      </w:pPr>
      <w:r w:rsidRPr="00773015">
        <w:rPr>
          <w:szCs w:val="22"/>
        </w:rPr>
        <w:t>Policy 31 – The minimum parcel size shall be one acre on 0-15% slope, and 5 acres on 16-29% slope.</w:t>
      </w:r>
    </w:p>
    <w:p w14:paraId="1A5C355D" w14:textId="5D724A2C" w:rsidR="00F95043" w:rsidRPr="00773015" w:rsidRDefault="00184766" w:rsidP="00F95043">
      <w:pPr>
        <w:spacing w:before="0" w:after="160"/>
        <w:rPr>
          <w:rFonts w:eastAsiaTheme="majorEastAsia" w:cstheme="majorBidi"/>
          <w:szCs w:val="22"/>
        </w:rPr>
      </w:pPr>
      <w:r w:rsidRPr="00773015">
        <w:rPr>
          <w:rFonts w:eastAsiaTheme="majorEastAsia" w:cstheme="majorBidi"/>
          <w:szCs w:val="22"/>
        </w:rPr>
        <w:t>Policy 32 – Single family residential, light commercial, light industrial, open space, non-profit and non-organizational in nature recreational uses, commercial/recreational uses, and public or quasi-public uses only may be permitted.</w:t>
      </w:r>
      <w:r w:rsidR="00F95043" w:rsidRPr="00773015">
        <w:rPr>
          <w:rFonts w:eastAsiaTheme="majorEastAsia" w:cstheme="majorBidi"/>
          <w:szCs w:val="22"/>
        </w:rPr>
        <w:t xml:space="preserve"> The permitted uses will not create erosion or sedimentation problems.</w:t>
      </w:r>
    </w:p>
    <w:p w14:paraId="123C32DC" w14:textId="77777777" w:rsidR="00184766" w:rsidRPr="00C706EB" w:rsidRDefault="00184766" w:rsidP="005C1652">
      <w:pPr>
        <w:spacing w:after="120"/>
        <w:rPr>
          <w:szCs w:val="22"/>
        </w:rPr>
      </w:pPr>
      <w:r w:rsidRPr="00773015">
        <w:rPr>
          <w:szCs w:val="22"/>
        </w:rPr>
        <w:t>Policy 33 – All land uses, and densities shall be designed so as not to destroy timber productivity on large parcels of high suitability woodland soils. (Class I and II.)</w:t>
      </w:r>
    </w:p>
    <w:p w14:paraId="5153ED7A" w14:textId="4B7670A9" w:rsidR="00F95043" w:rsidRPr="00C706EB" w:rsidRDefault="00CD570F" w:rsidP="00F95043">
      <w:pPr>
        <w:ind w:left="720"/>
        <w:rPr>
          <w:i/>
          <w:szCs w:val="22"/>
        </w:rPr>
      </w:pPr>
      <w:r w:rsidRPr="00773015">
        <w:rPr>
          <w:rFonts w:eastAsiaTheme="majorEastAsia" w:cstheme="majorBidi"/>
          <w:i/>
          <w:iCs/>
          <w:szCs w:val="22"/>
        </w:rPr>
        <w:t xml:space="preserve">No new parcels are proposed as part of this project. </w:t>
      </w:r>
      <w:r w:rsidR="00F95043" w:rsidRPr="00773015">
        <w:rPr>
          <w:rFonts w:eastAsiaTheme="majorEastAsia" w:cstheme="majorBidi"/>
          <w:i/>
          <w:iCs/>
          <w:szCs w:val="22"/>
        </w:rPr>
        <w:t xml:space="preserve">Short-term vacation rentals are a permitted use per Policy 32 and the proposed </w:t>
      </w:r>
      <w:r w:rsidRPr="00773015">
        <w:rPr>
          <w:rFonts w:eastAsiaTheme="majorEastAsia" w:cstheme="majorBidi"/>
          <w:i/>
          <w:iCs/>
          <w:szCs w:val="22"/>
        </w:rPr>
        <w:t xml:space="preserve">use </w:t>
      </w:r>
      <w:r w:rsidR="00F95043" w:rsidRPr="00773015">
        <w:rPr>
          <w:rFonts w:eastAsiaTheme="majorEastAsia" w:cstheme="majorBidi"/>
          <w:i/>
          <w:iCs/>
          <w:szCs w:val="22"/>
        </w:rPr>
        <w:t>will not create erosion or sedimentation problems.</w:t>
      </w:r>
      <w:r w:rsidRPr="00773015">
        <w:rPr>
          <w:rFonts w:eastAsiaTheme="majorEastAsia" w:cstheme="majorBidi"/>
          <w:i/>
          <w:iCs/>
          <w:szCs w:val="22"/>
        </w:rPr>
        <w:t xml:space="preserve"> </w:t>
      </w:r>
      <w:r w:rsidRPr="00773015">
        <w:rPr>
          <w:i/>
          <w:szCs w:val="22"/>
        </w:rPr>
        <w:t>No new land use or change in density is proposed as a part of this project.</w:t>
      </w:r>
    </w:p>
    <w:p w14:paraId="60CC738F" w14:textId="003323CA" w:rsidR="008571B1" w:rsidRPr="00A456A7" w:rsidRDefault="008571B1" w:rsidP="00444DDB">
      <w:pPr>
        <w:pStyle w:val="Heading3"/>
        <w:spacing w:after="240"/>
        <w:rPr>
          <w:szCs w:val="22"/>
          <w:u w:val="single"/>
        </w:rPr>
      </w:pPr>
      <w:r w:rsidRPr="00A456A7">
        <w:rPr>
          <w:szCs w:val="22"/>
          <w:u w:val="single"/>
        </w:rPr>
        <w:t>California Environmental Quality Act Findings</w:t>
      </w:r>
    </w:p>
    <w:p w14:paraId="230396CE" w14:textId="77777777" w:rsidR="006F41AB" w:rsidRPr="00A456A7" w:rsidRDefault="008571B1" w:rsidP="00A456A7">
      <w:pPr>
        <w:pStyle w:val="ListParagraph"/>
        <w:numPr>
          <w:ilvl w:val="0"/>
          <w:numId w:val="3"/>
        </w:numPr>
        <w:spacing w:after="0"/>
        <w:rPr>
          <w:szCs w:val="22"/>
        </w:rPr>
      </w:pPr>
      <w:r w:rsidRPr="00A456A7">
        <w:rPr>
          <w:szCs w:val="22"/>
        </w:rPr>
        <w:t>Pursuant to CEQA Guidelines, Section 15301</w:t>
      </w:r>
      <w:r w:rsidR="003A191F" w:rsidRPr="00A456A7">
        <w:rPr>
          <w:szCs w:val="22"/>
        </w:rPr>
        <w:t>,</w:t>
      </w:r>
      <w:r w:rsidRPr="00A456A7">
        <w:rPr>
          <w:szCs w:val="22"/>
        </w:rPr>
        <w:t xml:space="preserve"> Class 1, projects involving the operation, repair, maintenance, permitting, leasing, licensing, or minor alteration of public or private structures, facilities, mechanical equipment, or topographical features involving </w:t>
      </w:r>
      <w:r w:rsidR="00866927" w:rsidRPr="00A456A7">
        <w:rPr>
          <w:szCs w:val="22"/>
        </w:rPr>
        <w:t>negligible,</w:t>
      </w:r>
      <w:r w:rsidRPr="00A456A7">
        <w:rPr>
          <w:szCs w:val="22"/>
        </w:rPr>
        <w:t xml:space="preserve"> or no expansion</w:t>
      </w:r>
    </w:p>
    <w:p w14:paraId="1E7A0CFE" w14:textId="0EC5E5A1" w:rsidR="002E522E" w:rsidRPr="00A456A7" w:rsidRDefault="008571B1" w:rsidP="00A456A7">
      <w:pPr>
        <w:pStyle w:val="ListParagraph"/>
        <w:spacing w:before="0"/>
        <w:ind w:left="720"/>
        <w:rPr>
          <w:szCs w:val="22"/>
        </w:rPr>
      </w:pPr>
      <w:r w:rsidRPr="00A456A7">
        <w:rPr>
          <w:szCs w:val="22"/>
        </w:rPr>
        <w:t>of use are categorically exempt from the provisions of CEQA. Because the change in use is minor, would not involve a significant expansion of the use beyond that of the existing single-family residential use, and there is no substantial evidence demonstrating that there are unusual circumstances which would result in significant impacts that threaten the environment, the project is categorically exempt from CEQA pursuant to CEQA Guidelines Section 15301.</w:t>
      </w:r>
    </w:p>
    <w:p w14:paraId="4B513028" w14:textId="053F3C85" w:rsidR="008571B1" w:rsidRPr="00A456A7" w:rsidRDefault="008571B1" w:rsidP="002E522E">
      <w:pPr>
        <w:pStyle w:val="ListParagraph"/>
        <w:numPr>
          <w:ilvl w:val="0"/>
          <w:numId w:val="3"/>
        </w:numPr>
        <w:rPr>
          <w:szCs w:val="22"/>
        </w:rPr>
      </w:pPr>
      <w:r w:rsidRPr="00A456A7">
        <w:rPr>
          <w:szCs w:val="22"/>
        </w:rPr>
        <w:t>The Planning Commission has reviewed and considered the proposed project and all comments submitted and has determined that the record</w:t>
      </w:r>
      <w:r w:rsidR="00E93670" w:rsidRPr="00A456A7">
        <w:rPr>
          <w:szCs w:val="22"/>
        </w:rPr>
        <w:t xml:space="preserve"> demonstrates</w:t>
      </w:r>
      <w:r w:rsidRPr="00A456A7">
        <w:rPr>
          <w:szCs w:val="22"/>
        </w:rPr>
        <w:t xml:space="preserve"> that there is no evidence that the proposed project will have an individually or cumulatively significant effect.</w:t>
      </w:r>
    </w:p>
    <w:p w14:paraId="04B15E1A" w14:textId="04E4F9BF" w:rsidR="008571B1" w:rsidRPr="00A456A7" w:rsidRDefault="008571B1" w:rsidP="002E522E">
      <w:pPr>
        <w:pStyle w:val="ListParagraph"/>
        <w:numPr>
          <w:ilvl w:val="0"/>
          <w:numId w:val="3"/>
        </w:numPr>
        <w:rPr>
          <w:rFonts w:cs="Arial"/>
          <w:i/>
          <w:szCs w:val="22"/>
          <w:u w:val="single"/>
        </w:rPr>
      </w:pPr>
      <w:r w:rsidRPr="00A456A7">
        <w:rPr>
          <w:szCs w:val="22"/>
        </w:rPr>
        <w:t>The Planning Commission has determined that the custodian of all documents and material</w:t>
      </w:r>
      <w:r w:rsidR="00BB2BA4" w:rsidRPr="00A456A7">
        <w:rPr>
          <w:szCs w:val="22"/>
        </w:rPr>
        <w:t>,</w:t>
      </w:r>
      <w:r w:rsidRPr="00A456A7">
        <w:rPr>
          <w:szCs w:val="22"/>
        </w:rPr>
        <w:t xml:space="preserve"> which constitute the record of proceedings shall rest with the County of Siskiyou Community Development Department.</w:t>
      </w:r>
    </w:p>
    <w:sectPr w:rsidR="008571B1" w:rsidRPr="00A456A7" w:rsidSect="00894424">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0417" w14:textId="77777777" w:rsidR="008571B1" w:rsidRDefault="008571B1" w:rsidP="003956C6">
      <w:pPr>
        <w:spacing w:before="0" w:after="0" w:line="240" w:lineRule="auto"/>
      </w:pPr>
      <w:r>
        <w:separator/>
      </w:r>
    </w:p>
  </w:endnote>
  <w:endnote w:type="continuationSeparator" w:id="0">
    <w:p w14:paraId="78F75E93" w14:textId="77777777" w:rsidR="008571B1" w:rsidRDefault="008571B1"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BC51" w14:textId="77777777" w:rsidR="00F55133" w:rsidRDefault="00F55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76F0" w14:textId="7B0F356C" w:rsidR="008571B1" w:rsidRPr="009E291B" w:rsidRDefault="00DE07D8" w:rsidP="00DE07D8">
    <w:pPr>
      <w:pStyle w:val="Footer"/>
      <w:rPr>
        <w:sz w:val="20"/>
        <w:szCs w:val="20"/>
      </w:rPr>
    </w:pPr>
    <w:r w:rsidRPr="009E291B">
      <w:rPr>
        <w:sz w:val="20"/>
        <w:szCs w:val="20"/>
      </w:rPr>
      <w:t>Exhibit A-2 – Recommended Findings</w:t>
    </w:r>
  </w:p>
  <w:p w14:paraId="3DA38432" w14:textId="309DAF86" w:rsidR="00DE07D8" w:rsidRPr="009E291B" w:rsidRDefault="00225A53" w:rsidP="00DE07D8">
    <w:pPr>
      <w:pStyle w:val="Footer"/>
      <w:tabs>
        <w:tab w:val="clear" w:pos="9360"/>
        <w:tab w:val="right" w:pos="10080"/>
      </w:tabs>
      <w:rPr>
        <w:sz w:val="20"/>
        <w:szCs w:val="20"/>
      </w:rPr>
    </w:pPr>
    <w:r>
      <w:rPr>
        <w:sz w:val="20"/>
        <w:szCs w:val="20"/>
      </w:rPr>
      <w:t>Sinibaldi</w:t>
    </w:r>
    <w:r w:rsidR="00715EA4">
      <w:rPr>
        <w:sz w:val="20"/>
        <w:szCs w:val="20"/>
      </w:rPr>
      <w:t>-</w:t>
    </w:r>
    <w:r w:rsidR="005A1B79">
      <w:rPr>
        <w:sz w:val="20"/>
        <w:szCs w:val="20"/>
      </w:rPr>
      <w:t>Mendoza</w:t>
    </w:r>
    <w:r w:rsidR="00A456A7">
      <w:rPr>
        <w:sz w:val="20"/>
        <w:szCs w:val="20"/>
      </w:rPr>
      <w:t xml:space="preserve"> </w:t>
    </w:r>
    <w:r w:rsidR="00DE07D8" w:rsidRPr="009E291B">
      <w:rPr>
        <w:sz w:val="20"/>
        <w:szCs w:val="20"/>
      </w:rPr>
      <w:t>Use Permit (UP</w:t>
    </w:r>
    <w:r w:rsidR="00906C0B">
      <w:rPr>
        <w:sz w:val="20"/>
        <w:szCs w:val="20"/>
      </w:rPr>
      <w:t>-2</w:t>
    </w:r>
    <w:r w:rsidR="00CE7A93">
      <w:rPr>
        <w:sz w:val="20"/>
        <w:szCs w:val="20"/>
      </w:rPr>
      <w:t>2</w:t>
    </w:r>
    <w:r>
      <w:rPr>
        <w:sz w:val="20"/>
        <w:szCs w:val="20"/>
      </w:rPr>
      <w:t>-04</w:t>
    </w:r>
    <w:r w:rsidR="00DE07D8" w:rsidRPr="009E291B">
      <w:rPr>
        <w:sz w:val="20"/>
        <w:szCs w:val="20"/>
      </w:rPr>
      <w:t>)</w:t>
    </w:r>
    <w:r w:rsidR="00DE07D8" w:rsidRPr="009E291B">
      <w:rPr>
        <w:sz w:val="20"/>
        <w:szCs w:val="20"/>
      </w:rPr>
      <w:tab/>
    </w:r>
    <w:r w:rsidR="00DE07D8" w:rsidRPr="009E291B">
      <w:rPr>
        <w:sz w:val="20"/>
        <w:szCs w:val="20"/>
      </w:rPr>
      <w:tab/>
      <w:t xml:space="preserve">Page </w:t>
    </w:r>
    <w:r w:rsidR="00DE07D8" w:rsidRPr="009E291B">
      <w:rPr>
        <w:sz w:val="20"/>
        <w:szCs w:val="20"/>
      </w:rPr>
      <w:fldChar w:fldCharType="begin"/>
    </w:r>
    <w:r w:rsidR="00DE07D8" w:rsidRPr="009E291B">
      <w:rPr>
        <w:sz w:val="20"/>
        <w:szCs w:val="20"/>
      </w:rPr>
      <w:instrText xml:space="preserve"> PAGE  \* Arabic  \* MERGEFORMAT </w:instrText>
    </w:r>
    <w:r w:rsidR="00DE07D8" w:rsidRPr="009E291B">
      <w:rPr>
        <w:sz w:val="20"/>
        <w:szCs w:val="20"/>
      </w:rPr>
      <w:fldChar w:fldCharType="separate"/>
    </w:r>
    <w:r w:rsidR="00BC2DB0">
      <w:rPr>
        <w:noProof/>
        <w:sz w:val="20"/>
        <w:szCs w:val="20"/>
      </w:rPr>
      <w:t>5</w:t>
    </w:r>
    <w:r w:rsidR="00DE07D8" w:rsidRPr="009E291B">
      <w:rPr>
        <w:sz w:val="20"/>
        <w:szCs w:val="20"/>
      </w:rPr>
      <w:fldChar w:fldCharType="end"/>
    </w:r>
    <w:r w:rsidR="00DE07D8" w:rsidRPr="009E291B">
      <w:rPr>
        <w:sz w:val="20"/>
        <w:szCs w:val="20"/>
      </w:rPr>
      <w:t xml:space="preserve"> of </w:t>
    </w:r>
    <w:r w:rsidR="00DE07D8" w:rsidRPr="009E291B">
      <w:rPr>
        <w:sz w:val="20"/>
        <w:szCs w:val="20"/>
      </w:rPr>
      <w:fldChar w:fldCharType="begin"/>
    </w:r>
    <w:r w:rsidR="00DE07D8" w:rsidRPr="009E291B">
      <w:rPr>
        <w:sz w:val="20"/>
        <w:szCs w:val="20"/>
      </w:rPr>
      <w:instrText xml:space="preserve"> NUMPAGES  \* Arabic  \* MERGEFORMAT </w:instrText>
    </w:r>
    <w:r w:rsidR="00DE07D8" w:rsidRPr="009E291B">
      <w:rPr>
        <w:sz w:val="20"/>
        <w:szCs w:val="20"/>
      </w:rPr>
      <w:fldChar w:fldCharType="separate"/>
    </w:r>
    <w:r w:rsidR="00BC2DB0">
      <w:rPr>
        <w:noProof/>
        <w:sz w:val="20"/>
        <w:szCs w:val="20"/>
      </w:rPr>
      <w:t>5</w:t>
    </w:r>
    <w:r w:rsidR="00DE07D8" w:rsidRPr="009E291B">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0F21" w14:textId="77777777" w:rsidR="00F55133" w:rsidRDefault="00F5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51E6" w14:textId="77777777" w:rsidR="008571B1" w:rsidRDefault="008571B1" w:rsidP="003956C6">
      <w:pPr>
        <w:spacing w:before="0" w:after="0" w:line="240" w:lineRule="auto"/>
      </w:pPr>
      <w:r>
        <w:separator/>
      </w:r>
    </w:p>
  </w:footnote>
  <w:footnote w:type="continuationSeparator" w:id="0">
    <w:p w14:paraId="64F9B4EE" w14:textId="77777777" w:rsidR="008571B1" w:rsidRDefault="008571B1" w:rsidP="003956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F585" w14:textId="77777777" w:rsidR="00F55133" w:rsidRDefault="00F55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2BCC" w14:textId="1FDF0712" w:rsidR="00F64338" w:rsidRPr="007260AC" w:rsidRDefault="008D0B5C" w:rsidP="00F55133">
    <w:pPr>
      <w:pStyle w:val="Header"/>
      <w:spacing w:after="120"/>
      <w:jc w:val="center"/>
      <w:rPr>
        <w:b/>
        <w:sz w:val="24"/>
      </w:rPr>
    </w:pPr>
    <w:r w:rsidRPr="00FA70FA">
      <w:rPr>
        <w:b/>
        <w:sz w:val="24"/>
      </w:rPr>
      <w:t xml:space="preserve">Exhibit </w:t>
    </w:r>
    <w:r w:rsidR="00F55133">
      <w:rPr>
        <w:b/>
        <w:sz w:val="24"/>
      </w:rPr>
      <w:t>D</w:t>
    </w:r>
    <w:r w:rsidRPr="00FA70FA">
      <w:rPr>
        <w:b/>
        <w:sz w:val="24"/>
      </w:rPr>
      <w:t>-2</w:t>
    </w:r>
    <w:r w:rsidR="009F0E86" w:rsidRPr="002A0105">
      <w:rPr>
        <w:b/>
        <w:sz w:val="24"/>
      </w:rPr>
      <w:t xml:space="preserve"> to Resolution </w:t>
    </w:r>
    <w:r w:rsidR="00F55133">
      <w:rPr>
        <w:b/>
        <w:sz w:val="24"/>
      </w:rPr>
      <w:t>_____  _____</w:t>
    </w:r>
  </w:p>
  <w:p w14:paraId="392544A3" w14:textId="34287EA9" w:rsidR="00F14CD9" w:rsidRPr="00FA70FA" w:rsidRDefault="00F43125" w:rsidP="00BD046D">
    <w:pPr>
      <w:pStyle w:val="Header"/>
      <w:spacing w:after="240"/>
      <w:jc w:val="center"/>
      <w:rPr>
        <w:b/>
        <w:sz w:val="24"/>
      </w:rPr>
    </w:pPr>
    <w:r w:rsidRPr="007260AC">
      <w:rPr>
        <w:b/>
        <w:sz w:val="24"/>
      </w:rPr>
      <w:t>Recommended Findings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2E3A" w14:textId="77777777" w:rsidR="00F55133" w:rsidRDefault="00F5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801"/>
    <w:multiLevelType w:val="hybridMultilevel"/>
    <w:tmpl w:val="B0961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031B1"/>
    <w:multiLevelType w:val="hybridMultilevel"/>
    <w:tmpl w:val="1BD4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D60E8"/>
    <w:multiLevelType w:val="hybridMultilevel"/>
    <w:tmpl w:val="CE3080D8"/>
    <w:lvl w:ilvl="0" w:tplc="649E667C">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52067"/>
    <w:multiLevelType w:val="hybridMultilevel"/>
    <w:tmpl w:val="F078C410"/>
    <w:lvl w:ilvl="0" w:tplc="49FA73E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10031">
    <w:abstractNumId w:val="3"/>
  </w:num>
  <w:num w:numId="2" w16cid:durableId="45490821">
    <w:abstractNumId w:val="2"/>
  </w:num>
  <w:num w:numId="3" w16cid:durableId="1734159969">
    <w:abstractNumId w:val="4"/>
  </w:num>
  <w:num w:numId="4" w16cid:durableId="1625960386">
    <w:abstractNumId w:val="1"/>
  </w:num>
  <w:num w:numId="5" w16cid:durableId="141165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B1"/>
    <w:rsid w:val="000001BB"/>
    <w:rsid w:val="00002196"/>
    <w:rsid w:val="0000339D"/>
    <w:rsid w:val="000170E8"/>
    <w:rsid w:val="00030322"/>
    <w:rsid w:val="00036799"/>
    <w:rsid w:val="000559A6"/>
    <w:rsid w:val="000566B9"/>
    <w:rsid w:val="000947F9"/>
    <w:rsid w:val="000A09D4"/>
    <w:rsid w:val="000A1E37"/>
    <w:rsid w:val="000A2D87"/>
    <w:rsid w:val="000B462C"/>
    <w:rsid w:val="000C0F0D"/>
    <w:rsid w:val="000C2098"/>
    <w:rsid w:val="000C7426"/>
    <w:rsid w:val="0011454B"/>
    <w:rsid w:val="0012671C"/>
    <w:rsid w:val="00140BFF"/>
    <w:rsid w:val="001567FC"/>
    <w:rsid w:val="00164332"/>
    <w:rsid w:val="00167049"/>
    <w:rsid w:val="0018113E"/>
    <w:rsid w:val="001812C7"/>
    <w:rsid w:val="0018314A"/>
    <w:rsid w:val="00184766"/>
    <w:rsid w:val="00184D33"/>
    <w:rsid w:val="00185798"/>
    <w:rsid w:val="0019590B"/>
    <w:rsid w:val="001A36DF"/>
    <w:rsid w:val="001A73AE"/>
    <w:rsid w:val="001B0BF2"/>
    <w:rsid w:val="001B2929"/>
    <w:rsid w:val="001C10C2"/>
    <w:rsid w:val="001D4382"/>
    <w:rsid w:val="001F47A8"/>
    <w:rsid w:val="001F7BA7"/>
    <w:rsid w:val="002076F6"/>
    <w:rsid w:val="00211687"/>
    <w:rsid w:val="00221D60"/>
    <w:rsid w:val="00225A53"/>
    <w:rsid w:val="00230329"/>
    <w:rsid w:val="0023283F"/>
    <w:rsid w:val="00276B1B"/>
    <w:rsid w:val="00284DD2"/>
    <w:rsid w:val="00290699"/>
    <w:rsid w:val="00295C69"/>
    <w:rsid w:val="002A0105"/>
    <w:rsid w:val="002A389F"/>
    <w:rsid w:val="002A44F0"/>
    <w:rsid w:val="002B6CAB"/>
    <w:rsid w:val="002D27AE"/>
    <w:rsid w:val="002D3A2E"/>
    <w:rsid w:val="002E15C8"/>
    <w:rsid w:val="002E4748"/>
    <w:rsid w:val="002E522E"/>
    <w:rsid w:val="00302564"/>
    <w:rsid w:val="0031753E"/>
    <w:rsid w:val="0032773B"/>
    <w:rsid w:val="00343C73"/>
    <w:rsid w:val="0034627F"/>
    <w:rsid w:val="00346801"/>
    <w:rsid w:val="003551C3"/>
    <w:rsid w:val="00361053"/>
    <w:rsid w:val="00377DEC"/>
    <w:rsid w:val="0038055C"/>
    <w:rsid w:val="003956C6"/>
    <w:rsid w:val="003A191F"/>
    <w:rsid w:val="003A3990"/>
    <w:rsid w:val="003B4654"/>
    <w:rsid w:val="003B4C2A"/>
    <w:rsid w:val="003B5ECE"/>
    <w:rsid w:val="003E7228"/>
    <w:rsid w:val="003E7BBF"/>
    <w:rsid w:val="003F3B78"/>
    <w:rsid w:val="003F68B7"/>
    <w:rsid w:val="00425567"/>
    <w:rsid w:val="00444DDB"/>
    <w:rsid w:val="00461407"/>
    <w:rsid w:val="004708AB"/>
    <w:rsid w:val="00491059"/>
    <w:rsid w:val="00491D84"/>
    <w:rsid w:val="004952F3"/>
    <w:rsid w:val="004A1B94"/>
    <w:rsid w:val="004A6CAE"/>
    <w:rsid w:val="004C02AE"/>
    <w:rsid w:val="004C1BB6"/>
    <w:rsid w:val="004C5151"/>
    <w:rsid w:val="004D198C"/>
    <w:rsid w:val="004D5A9A"/>
    <w:rsid w:val="004D5F1B"/>
    <w:rsid w:val="004D6EC8"/>
    <w:rsid w:val="004E22E5"/>
    <w:rsid w:val="004E795C"/>
    <w:rsid w:val="004F6A7D"/>
    <w:rsid w:val="004F7040"/>
    <w:rsid w:val="00514A71"/>
    <w:rsid w:val="00520756"/>
    <w:rsid w:val="00521B1D"/>
    <w:rsid w:val="00522B3F"/>
    <w:rsid w:val="00532B3C"/>
    <w:rsid w:val="005337A8"/>
    <w:rsid w:val="0054724C"/>
    <w:rsid w:val="00547B2C"/>
    <w:rsid w:val="005510A0"/>
    <w:rsid w:val="00560CC7"/>
    <w:rsid w:val="00562AC0"/>
    <w:rsid w:val="00570548"/>
    <w:rsid w:val="005745A1"/>
    <w:rsid w:val="00590BDE"/>
    <w:rsid w:val="00591C92"/>
    <w:rsid w:val="005937B0"/>
    <w:rsid w:val="005A1B79"/>
    <w:rsid w:val="005A20B9"/>
    <w:rsid w:val="005A3160"/>
    <w:rsid w:val="005A54E6"/>
    <w:rsid w:val="005B244A"/>
    <w:rsid w:val="005C1652"/>
    <w:rsid w:val="005C7218"/>
    <w:rsid w:val="005D1DC5"/>
    <w:rsid w:val="005F17DA"/>
    <w:rsid w:val="0060014C"/>
    <w:rsid w:val="00607B63"/>
    <w:rsid w:val="00612D97"/>
    <w:rsid w:val="006213B5"/>
    <w:rsid w:val="00644058"/>
    <w:rsid w:val="0066215D"/>
    <w:rsid w:val="00665BDC"/>
    <w:rsid w:val="006728C3"/>
    <w:rsid w:val="006777EF"/>
    <w:rsid w:val="00684C2C"/>
    <w:rsid w:val="006860F1"/>
    <w:rsid w:val="00686B27"/>
    <w:rsid w:val="00692EF6"/>
    <w:rsid w:val="006A1030"/>
    <w:rsid w:val="006A7CB2"/>
    <w:rsid w:val="006C3669"/>
    <w:rsid w:val="006D252D"/>
    <w:rsid w:val="006D5472"/>
    <w:rsid w:val="006E070A"/>
    <w:rsid w:val="006E785E"/>
    <w:rsid w:val="006F3A35"/>
    <w:rsid w:val="006F41AB"/>
    <w:rsid w:val="00707527"/>
    <w:rsid w:val="00711A59"/>
    <w:rsid w:val="00715EA4"/>
    <w:rsid w:val="0072385F"/>
    <w:rsid w:val="007260AC"/>
    <w:rsid w:val="00734338"/>
    <w:rsid w:val="007378F2"/>
    <w:rsid w:val="00763330"/>
    <w:rsid w:val="007651A4"/>
    <w:rsid w:val="00767E42"/>
    <w:rsid w:val="007726A6"/>
    <w:rsid w:val="00772860"/>
    <w:rsid w:val="00773015"/>
    <w:rsid w:val="00793A73"/>
    <w:rsid w:val="00795B89"/>
    <w:rsid w:val="007D6440"/>
    <w:rsid w:val="007F4C57"/>
    <w:rsid w:val="008009E1"/>
    <w:rsid w:val="00801591"/>
    <w:rsid w:val="00804755"/>
    <w:rsid w:val="00815270"/>
    <w:rsid w:val="00815546"/>
    <w:rsid w:val="008159AA"/>
    <w:rsid w:val="00826291"/>
    <w:rsid w:val="0083387E"/>
    <w:rsid w:val="00844235"/>
    <w:rsid w:val="00847638"/>
    <w:rsid w:val="00852D9B"/>
    <w:rsid w:val="00855F3D"/>
    <w:rsid w:val="008571B1"/>
    <w:rsid w:val="00866927"/>
    <w:rsid w:val="008702AC"/>
    <w:rsid w:val="00870CDD"/>
    <w:rsid w:val="00871612"/>
    <w:rsid w:val="00872FAB"/>
    <w:rsid w:val="00894424"/>
    <w:rsid w:val="008A3506"/>
    <w:rsid w:val="008B3A4B"/>
    <w:rsid w:val="008C24ED"/>
    <w:rsid w:val="008D0B5C"/>
    <w:rsid w:val="008D31EE"/>
    <w:rsid w:val="008D716D"/>
    <w:rsid w:val="008E2502"/>
    <w:rsid w:val="008E3F60"/>
    <w:rsid w:val="008F4DCE"/>
    <w:rsid w:val="008F7695"/>
    <w:rsid w:val="009009C7"/>
    <w:rsid w:val="00904A50"/>
    <w:rsid w:val="00906C0B"/>
    <w:rsid w:val="0091633D"/>
    <w:rsid w:val="00944209"/>
    <w:rsid w:val="00953A44"/>
    <w:rsid w:val="009643BE"/>
    <w:rsid w:val="009832FA"/>
    <w:rsid w:val="0099369D"/>
    <w:rsid w:val="009B24FA"/>
    <w:rsid w:val="009D1C76"/>
    <w:rsid w:val="009E261A"/>
    <w:rsid w:val="009E291B"/>
    <w:rsid w:val="009F0E86"/>
    <w:rsid w:val="00A02B06"/>
    <w:rsid w:val="00A110B0"/>
    <w:rsid w:val="00A20EEE"/>
    <w:rsid w:val="00A22761"/>
    <w:rsid w:val="00A42831"/>
    <w:rsid w:val="00A456A7"/>
    <w:rsid w:val="00A52D03"/>
    <w:rsid w:val="00A56F90"/>
    <w:rsid w:val="00A572C3"/>
    <w:rsid w:val="00A601B5"/>
    <w:rsid w:val="00A64478"/>
    <w:rsid w:val="00A67D7E"/>
    <w:rsid w:val="00A7628E"/>
    <w:rsid w:val="00A81BFA"/>
    <w:rsid w:val="00A837AF"/>
    <w:rsid w:val="00A90D0C"/>
    <w:rsid w:val="00AA1546"/>
    <w:rsid w:val="00AB07E5"/>
    <w:rsid w:val="00AB26E2"/>
    <w:rsid w:val="00AB31F8"/>
    <w:rsid w:val="00AC13D4"/>
    <w:rsid w:val="00AD0084"/>
    <w:rsid w:val="00AD6EBA"/>
    <w:rsid w:val="00AE717A"/>
    <w:rsid w:val="00AF047E"/>
    <w:rsid w:val="00AF2A53"/>
    <w:rsid w:val="00B1304F"/>
    <w:rsid w:val="00B22F7C"/>
    <w:rsid w:val="00B322F4"/>
    <w:rsid w:val="00B3317F"/>
    <w:rsid w:val="00B34018"/>
    <w:rsid w:val="00B4551A"/>
    <w:rsid w:val="00B465FA"/>
    <w:rsid w:val="00B56252"/>
    <w:rsid w:val="00B61683"/>
    <w:rsid w:val="00B66A4A"/>
    <w:rsid w:val="00BA7C3E"/>
    <w:rsid w:val="00BB2A6C"/>
    <w:rsid w:val="00BB2BA4"/>
    <w:rsid w:val="00BC2DB0"/>
    <w:rsid w:val="00BD046D"/>
    <w:rsid w:val="00BD1CC1"/>
    <w:rsid w:val="00BE68FB"/>
    <w:rsid w:val="00BF67CE"/>
    <w:rsid w:val="00C20312"/>
    <w:rsid w:val="00C21ED8"/>
    <w:rsid w:val="00C26771"/>
    <w:rsid w:val="00C31866"/>
    <w:rsid w:val="00C33FE1"/>
    <w:rsid w:val="00C36FAB"/>
    <w:rsid w:val="00C62C08"/>
    <w:rsid w:val="00C64D19"/>
    <w:rsid w:val="00C706EB"/>
    <w:rsid w:val="00C91C26"/>
    <w:rsid w:val="00CA0B45"/>
    <w:rsid w:val="00CA5131"/>
    <w:rsid w:val="00CB31CD"/>
    <w:rsid w:val="00CC30D3"/>
    <w:rsid w:val="00CD56F0"/>
    <w:rsid w:val="00CD570F"/>
    <w:rsid w:val="00CE149E"/>
    <w:rsid w:val="00CE6367"/>
    <w:rsid w:val="00CE7A93"/>
    <w:rsid w:val="00CF36F4"/>
    <w:rsid w:val="00D0779F"/>
    <w:rsid w:val="00D07F4A"/>
    <w:rsid w:val="00D11C07"/>
    <w:rsid w:val="00D162AE"/>
    <w:rsid w:val="00D36AAB"/>
    <w:rsid w:val="00D428C3"/>
    <w:rsid w:val="00D47994"/>
    <w:rsid w:val="00D500BA"/>
    <w:rsid w:val="00D60119"/>
    <w:rsid w:val="00D62587"/>
    <w:rsid w:val="00D703EF"/>
    <w:rsid w:val="00D704DD"/>
    <w:rsid w:val="00D95AAD"/>
    <w:rsid w:val="00DB320B"/>
    <w:rsid w:val="00DC1DF3"/>
    <w:rsid w:val="00DC42DF"/>
    <w:rsid w:val="00DE07D8"/>
    <w:rsid w:val="00DF3E60"/>
    <w:rsid w:val="00E00E6E"/>
    <w:rsid w:val="00E07359"/>
    <w:rsid w:val="00E12AB0"/>
    <w:rsid w:val="00E12FB1"/>
    <w:rsid w:val="00E21F2B"/>
    <w:rsid w:val="00E234CD"/>
    <w:rsid w:val="00E563A7"/>
    <w:rsid w:val="00E61831"/>
    <w:rsid w:val="00E633ED"/>
    <w:rsid w:val="00E76D9A"/>
    <w:rsid w:val="00E93670"/>
    <w:rsid w:val="00E938FF"/>
    <w:rsid w:val="00EA579B"/>
    <w:rsid w:val="00EB2A7C"/>
    <w:rsid w:val="00EB53BC"/>
    <w:rsid w:val="00EC0BF9"/>
    <w:rsid w:val="00EC1730"/>
    <w:rsid w:val="00EE3693"/>
    <w:rsid w:val="00F14907"/>
    <w:rsid w:val="00F14CD9"/>
    <w:rsid w:val="00F17102"/>
    <w:rsid w:val="00F23C24"/>
    <w:rsid w:val="00F40BF8"/>
    <w:rsid w:val="00F40D5D"/>
    <w:rsid w:val="00F4123A"/>
    <w:rsid w:val="00F425DD"/>
    <w:rsid w:val="00F43125"/>
    <w:rsid w:val="00F4619E"/>
    <w:rsid w:val="00F46F48"/>
    <w:rsid w:val="00F52206"/>
    <w:rsid w:val="00F54E61"/>
    <w:rsid w:val="00F55133"/>
    <w:rsid w:val="00F57796"/>
    <w:rsid w:val="00F64338"/>
    <w:rsid w:val="00F7601F"/>
    <w:rsid w:val="00F94891"/>
    <w:rsid w:val="00F95043"/>
    <w:rsid w:val="00F958DC"/>
    <w:rsid w:val="00F97781"/>
    <w:rsid w:val="00FA49C5"/>
    <w:rsid w:val="00FA4E6B"/>
    <w:rsid w:val="00FA709A"/>
    <w:rsid w:val="00FA70FA"/>
    <w:rsid w:val="00FB152F"/>
    <w:rsid w:val="00FD32A2"/>
    <w:rsid w:val="00FD7634"/>
    <w:rsid w:val="00FE195A"/>
    <w:rsid w:val="00FE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EED4E7F"/>
  <w15:docId w15:val="{6552F3D9-8632-44AF-BFC1-DC21B823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34"/>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alloonText">
    <w:name w:val="Balloon Text"/>
    <w:basedOn w:val="Normal"/>
    <w:link w:val="BalloonTextChar"/>
    <w:uiPriority w:val="99"/>
    <w:semiHidden/>
    <w:unhideWhenUsed/>
    <w:rsid w:val="004910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059"/>
    <w:rPr>
      <w:rFonts w:ascii="Segoe UI" w:hAnsi="Segoe UI" w:cs="Segoe UI"/>
      <w:sz w:val="18"/>
      <w:szCs w:val="18"/>
    </w:rPr>
  </w:style>
  <w:style w:type="character" w:styleId="CommentReference">
    <w:name w:val="annotation reference"/>
    <w:basedOn w:val="DefaultParagraphFont"/>
    <w:uiPriority w:val="99"/>
    <w:semiHidden/>
    <w:unhideWhenUsed/>
    <w:rsid w:val="00514A71"/>
    <w:rPr>
      <w:sz w:val="16"/>
      <w:szCs w:val="16"/>
    </w:rPr>
  </w:style>
  <w:style w:type="paragraph" w:styleId="CommentText">
    <w:name w:val="annotation text"/>
    <w:basedOn w:val="Normal"/>
    <w:link w:val="CommentTextChar"/>
    <w:uiPriority w:val="99"/>
    <w:unhideWhenUsed/>
    <w:rsid w:val="00514A71"/>
    <w:pPr>
      <w:spacing w:line="240" w:lineRule="auto"/>
    </w:pPr>
    <w:rPr>
      <w:sz w:val="20"/>
      <w:szCs w:val="20"/>
    </w:rPr>
  </w:style>
  <w:style w:type="character" w:customStyle="1" w:styleId="CommentTextChar">
    <w:name w:val="Comment Text Char"/>
    <w:basedOn w:val="DefaultParagraphFont"/>
    <w:link w:val="CommentText"/>
    <w:uiPriority w:val="99"/>
    <w:rsid w:val="00514A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14A71"/>
    <w:rPr>
      <w:b/>
      <w:bCs/>
    </w:rPr>
  </w:style>
  <w:style w:type="character" w:customStyle="1" w:styleId="CommentSubjectChar">
    <w:name w:val="Comment Subject Char"/>
    <w:basedOn w:val="CommentTextChar"/>
    <w:link w:val="CommentSubject"/>
    <w:uiPriority w:val="99"/>
    <w:semiHidden/>
    <w:rsid w:val="00514A71"/>
    <w:rPr>
      <w:rFonts w:ascii="Arial" w:hAnsi="Arial"/>
      <w:b/>
      <w:bCs/>
      <w:sz w:val="20"/>
      <w:szCs w:val="20"/>
    </w:rPr>
  </w:style>
  <w:style w:type="paragraph" w:styleId="Revision">
    <w:name w:val="Revision"/>
    <w:hidden/>
    <w:uiPriority w:val="99"/>
    <w:semiHidden/>
    <w:rsid w:val="00734338"/>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6085">
      <w:bodyDiv w:val="1"/>
      <w:marLeft w:val="0"/>
      <w:marRight w:val="0"/>
      <w:marTop w:val="0"/>
      <w:marBottom w:val="0"/>
      <w:divBdr>
        <w:top w:val="none" w:sz="0" w:space="0" w:color="auto"/>
        <w:left w:val="none" w:sz="0" w:space="0" w:color="auto"/>
        <w:bottom w:val="none" w:sz="0" w:space="0" w:color="auto"/>
        <w:right w:val="none" w:sz="0" w:space="0" w:color="auto"/>
      </w:divBdr>
    </w:div>
    <w:div w:id="329530932">
      <w:bodyDiv w:val="1"/>
      <w:marLeft w:val="0"/>
      <w:marRight w:val="0"/>
      <w:marTop w:val="0"/>
      <w:marBottom w:val="0"/>
      <w:divBdr>
        <w:top w:val="none" w:sz="0" w:space="0" w:color="auto"/>
        <w:left w:val="none" w:sz="0" w:space="0" w:color="auto"/>
        <w:bottom w:val="none" w:sz="0" w:space="0" w:color="auto"/>
        <w:right w:val="none" w:sz="0" w:space="0" w:color="auto"/>
      </w:divBdr>
    </w:div>
    <w:div w:id="531112215">
      <w:bodyDiv w:val="1"/>
      <w:marLeft w:val="0"/>
      <w:marRight w:val="0"/>
      <w:marTop w:val="0"/>
      <w:marBottom w:val="0"/>
      <w:divBdr>
        <w:top w:val="none" w:sz="0" w:space="0" w:color="auto"/>
        <w:left w:val="none" w:sz="0" w:space="0" w:color="auto"/>
        <w:bottom w:val="none" w:sz="0" w:space="0" w:color="auto"/>
        <w:right w:val="none" w:sz="0" w:space="0" w:color="auto"/>
      </w:divBdr>
    </w:div>
    <w:div w:id="711541994">
      <w:bodyDiv w:val="1"/>
      <w:marLeft w:val="0"/>
      <w:marRight w:val="0"/>
      <w:marTop w:val="0"/>
      <w:marBottom w:val="0"/>
      <w:divBdr>
        <w:top w:val="none" w:sz="0" w:space="0" w:color="auto"/>
        <w:left w:val="none" w:sz="0" w:space="0" w:color="auto"/>
        <w:bottom w:val="none" w:sz="0" w:space="0" w:color="auto"/>
        <w:right w:val="none" w:sz="0" w:space="0" w:color="auto"/>
      </w:divBdr>
    </w:div>
    <w:div w:id="13893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C4E4F-07E6-4395-AE42-C3C2F640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Template.dotx</Template>
  <TotalTime>3</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Shelley Gray</dc:creator>
  <cp:lastModifiedBy>Shelley Gray</cp:lastModifiedBy>
  <cp:revision>3</cp:revision>
  <cp:lastPrinted>2023-02-27T20:49:00Z</cp:lastPrinted>
  <dcterms:created xsi:type="dcterms:W3CDTF">2023-04-20T21:15:00Z</dcterms:created>
  <dcterms:modified xsi:type="dcterms:W3CDTF">2023-04-24T22:26:00Z</dcterms:modified>
</cp:coreProperties>
</file>